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EC386" w14:textId="77777777" w:rsidR="00E23391" w:rsidRDefault="00E23391">
      <w:bookmarkStart w:id="0" w:name="_GoBack"/>
      <w:bookmarkEnd w:id="0"/>
    </w:p>
    <w:p w14:paraId="76CFBF26" w14:textId="77777777" w:rsidR="00E23391" w:rsidRDefault="00E23391" w:rsidP="009C7C14">
      <w:pPr>
        <w:jc w:val="center"/>
        <w:rPr>
          <w:b/>
          <w:bCs/>
          <w:sz w:val="28"/>
          <w:szCs w:val="28"/>
        </w:rPr>
      </w:pPr>
      <w:r w:rsidRPr="009C7C14">
        <w:rPr>
          <w:b/>
          <w:bCs/>
          <w:sz w:val="28"/>
          <w:szCs w:val="28"/>
        </w:rPr>
        <w:t xml:space="preserve">Ajánlás a KKK-k újrafogalmazásával kapcsolatos feladatok megoldására </w:t>
      </w:r>
    </w:p>
    <w:p w14:paraId="1AE4FBFC" w14:textId="12224DC9" w:rsidR="00E23391" w:rsidRDefault="00E23391" w:rsidP="009C7C14">
      <w:pPr>
        <w:jc w:val="center"/>
        <w:rPr>
          <w:b/>
          <w:bCs/>
          <w:sz w:val="28"/>
          <w:szCs w:val="28"/>
        </w:rPr>
      </w:pPr>
      <w:r w:rsidRPr="009C7C14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 xml:space="preserve"> KKK-k kidolgozását koordináló </w:t>
      </w:r>
      <w:smartTag w:uri="urn:schemas-microsoft-com:office:smarttags" w:element="PersonName">
        <w:r>
          <w:rPr>
            <w:b/>
            <w:bCs/>
            <w:sz w:val="28"/>
            <w:szCs w:val="28"/>
          </w:rPr>
          <w:t>MRK</w:t>
        </w:r>
      </w:smartTag>
      <w:r>
        <w:rPr>
          <w:b/>
          <w:bCs/>
          <w:sz w:val="28"/>
          <w:szCs w:val="28"/>
        </w:rPr>
        <w:t xml:space="preserve"> szak</w:t>
      </w:r>
      <w:r w:rsidRPr="009C7C14">
        <w:rPr>
          <w:b/>
          <w:bCs/>
          <w:sz w:val="28"/>
          <w:szCs w:val="28"/>
        </w:rPr>
        <w:t>bizottság</w:t>
      </w:r>
      <w:r>
        <w:rPr>
          <w:b/>
          <w:bCs/>
          <w:sz w:val="28"/>
          <w:szCs w:val="28"/>
        </w:rPr>
        <w:t xml:space="preserve">ok és a KKK-kat kidolgozó szakfelelősi munkacsoportok </w:t>
      </w:r>
      <w:r w:rsidRPr="009C7C14">
        <w:rPr>
          <w:b/>
          <w:bCs/>
          <w:sz w:val="28"/>
          <w:szCs w:val="28"/>
        </w:rPr>
        <w:t>tagjai számára</w:t>
      </w:r>
    </w:p>
    <w:p w14:paraId="5DA3AAAB" w14:textId="77777777" w:rsidR="00E23391" w:rsidRDefault="00E23391" w:rsidP="009C7C14">
      <w:pPr>
        <w:jc w:val="center"/>
        <w:rPr>
          <w:b/>
          <w:bCs/>
          <w:sz w:val="28"/>
          <w:szCs w:val="28"/>
        </w:rPr>
      </w:pPr>
    </w:p>
    <w:p w14:paraId="6AD73DD5" w14:textId="77777777" w:rsidR="00E23391" w:rsidRDefault="00E23391" w:rsidP="009C7C14"/>
    <w:p w14:paraId="5E6BFACE" w14:textId="77777777" w:rsidR="00E23391" w:rsidRDefault="00E23391" w:rsidP="009C7C14">
      <w:pPr>
        <w:rPr>
          <w:b/>
          <w:bCs/>
        </w:rPr>
      </w:pPr>
      <w:r w:rsidRPr="009C7C14">
        <w:rPr>
          <w:b/>
          <w:bCs/>
        </w:rPr>
        <w:t xml:space="preserve">I. A </w:t>
      </w:r>
      <w:r>
        <w:rPr>
          <w:b/>
          <w:bCs/>
        </w:rPr>
        <w:t>„</w:t>
      </w:r>
      <w:r w:rsidRPr="009C7C14">
        <w:rPr>
          <w:b/>
          <w:bCs/>
        </w:rPr>
        <w:t>felkészülés</w:t>
      </w:r>
      <w:r>
        <w:rPr>
          <w:b/>
          <w:bCs/>
        </w:rPr>
        <w:t>”</w:t>
      </w:r>
    </w:p>
    <w:p w14:paraId="6F81965C" w14:textId="579BD911" w:rsidR="00E23391" w:rsidRDefault="00E23391" w:rsidP="009C7C14">
      <w:r w:rsidRPr="009C7C14">
        <w:t>(1)</w:t>
      </w:r>
      <w:r>
        <w:t xml:space="preserve"> Mindenképpen szükséges először is a tanulmányi eredményekre, a kimeneti szabályozás elvére épülő </w:t>
      </w:r>
      <w:r w:rsidRPr="00A26392">
        <w:rPr>
          <w:b/>
          <w:bCs/>
        </w:rPr>
        <w:t>KKR (Képesítési Követelményrendszer)-koncepció végiggondolása</w:t>
      </w:r>
      <w:r>
        <w:t>, mert enélkül nehezen lesz érthető és elfogadható maga a feladat. Egyrészt mi a KKR célja: csakis a kimeneti feltételek megfogalmazásán keresztül szabályozni a képesítést (vagy más néven</w:t>
      </w:r>
      <w:r w:rsidR="00192BC2">
        <w:t xml:space="preserve"> </w:t>
      </w:r>
      <w:r>
        <w:t xml:space="preserve">a fokozatot). </w:t>
      </w:r>
    </w:p>
    <w:p w14:paraId="59724C58" w14:textId="77777777" w:rsidR="00E23391" w:rsidRDefault="00E23391" w:rsidP="009C7C14"/>
    <w:p w14:paraId="10E7AECD" w14:textId="77777777" w:rsidR="00E23391" w:rsidRDefault="00E23391" w:rsidP="000673C1">
      <w:pPr>
        <w:ind w:left="708"/>
      </w:pPr>
      <w:r>
        <w:t xml:space="preserve">Az új szabályozás a korábbinál élesebben elválasztja egymástól a képesítést (fokozatot), és a képzési programot. A felsőoktatás mindkettőt a ’szak’ kifejezéssel jelöli, ezért gyakran összekeveredik a gondolkodásban a kettő. A képesítésből / fokozatból (amelyet a „szaklétesítés” hoz létre) egy van, ezt igazolja a diploma (oklevél). Megalapítása (szaklétesítés) során történik meg fő jellemzőinek meghatározása (ez a dokumentum a KKK). Állami legitimálás (jogszabály) után válik hatályossá. </w:t>
      </w:r>
    </w:p>
    <w:p w14:paraId="2329B85B" w14:textId="77777777" w:rsidR="00E23391" w:rsidRDefault="00E23391" w:rsidP="000673C1">
      <w:pPr>
        <w:ind w:left="708"/>
      </w:pPr>
    </w:p>
    <w:p w14:paraId="12923249" w14:textId="77777777" w:rsidR="00E23391" w:rsidRDefault="00E23391" w:rsidP="000673C1">
      <w:pPr>
        <w:ind w:left="708"/>
      </w:pPr>
      <w:r>
        <w:t xml:space="preserve">Ugyanannak a képesítésnek (fokozatnak) az elérésére az intézmények képzési programokat hoznak létre és indítanak el (állami jóváhagyási folyamat keretében; ez a szakindítás). A képzési program kidolgozása intézményi autonómiába tartozik, része a tanterv és sok más kiegészítő elem. Az autonómia nyomán a képzési program minden intézményben többé-kevésbé különböző, az intézményi sajátosságok és szakmai megfontolások mentén. Egyetlen tulajdonságukban azonban azonosaknak kell lenniük: a KKK-ban megfogalmazott követelményeket (standardokat) el kell érniük a képzési folyamat végére.       </w:t>
      </w:r>
    </w:p>
    <w:p w14:paraId="0D9FC8FA" w14:textId="77777777" w:rsidR="00E23391" w:rsidRDefault="00E23391" w:rsidP="009C7C14"/>
    <w:p w14:paraId="45EDE9F9" w14:textId="77777777" w:rsidR="00E23391" w:rsidRDefault="00E23391" w:rsidP="009C7C14"/>
    <w:p w14:paraId="5335D66A" w14:textId="4A707736" w:rsidR="00E23391" w:rsidRDefault="00E23391" w:rsidP="009C7C14">
      <w:r>
        <w:t xml:space="preserve">A képesítést / fokozatot jellemző kimeneti feltételek olyan állítások, amelyekben az adott szintnek megfelelő végzettséggel rendelkezőkkel szembeni (belső szakmai, és külső társadalmi) elvárások fogalmazódnak meg, szint- és szak-specifikusan. A korábbiakhoz képest az eltérés annyi, hogy a KKK nem tartalmaz tantervi elemeket (mert az az intézményi autonómia körébe esik), csak kimeneti követelményeket (vö. a korábbi </w:t>
      </w:r>
      <w:r w:rsidR="007B53DF">
        <w:t>KKK</w:t>
      </w:r>
      <w:r>
        <w:t xml:space="preserve"> 7. pontja), amelyeket viszont a tanuló egyén szempontjából fogalmaz meg. Akkor ítélhető oda valakinek pl. a 7. szintnek megfelelő képesítés / fokozat, ha megfelel a 7. szintet jellemző állításoknak, elvárásoknak. Ebből a szempontból mindegy, hogy az illető hol és hogyan lett erre alkalmas. Vagyis nem a </w:t>
      </w:r>
      <w:r w:rsidRPr="00F06012">
        <w:rPr>
          <w:b/>
          <w:bCs/>
        </w:rPr>
        <w:t>tanítási</w:t>
      </w:r>
      <w:r>
        <w:t xml:space="preserve"> folyamat az érdekes, hanem „csak” az, hogy mi lett a </w:t>
      </w:r>
      <w:r w:rsidRPr="00F06012">
        <w:rPr>
          <w:b/>
          <w:bCs/>
        </w:rPr>
        <w:t>tanulás</w:t>
      </w:r>
      <w:r>
        <w:t xml:space="preserve"> eredménye. Az ehhez elvezető folyamat, képzés, felkészítés, gyakoroltatás (tartalom és módszertan, tehát a megvalósítás módja) az adott képző intézmény hatásköre, beleértve azt is, hogy abba – saját versenyelőnyének megteremtése érdekében –, milyen intézményi sajátosságokat épít bele.</w:t>
      </w:r>
    </w:p>
    <w:p w14:paraId="44C6B3CC" w14:textId="77777777" w:rsidR="000673C1" w:rsidRDefault="000673C1" w:rsidP="009C7C14"/>
    <w:p w14:paraId="536F7BFF" w14:textId="77777777" w:rsidR="00E23391" w:rsidRDefault="00E23391" w:rsidP="009C7C14">
      <w:r>
        <w:t>Másrészt ki kell hogy alakuljon egy kép mindenkiben arról, hogy az MKKR mátrixában mi az oszlopok, az egyes leíró jellemző-csoportok (tudás, képesség, attitűd, önállóság és felelősség) lényege, vagyis azok milyen jellegű tanulási eredményeket fogalmaznak meg. (A mellékelt irodalmi források ehhez megfelelő támpontot nyújtanak.)</w:t>
      </w:r>
    </w:p>
    <w:p w14:paraId="76F4B728" w14:textId="77777777" w:rsidR="00E23391" w:rsidRDefault="00E23391" w:rsidP="009C7C14"/>
    <w:p w14:paraId="25236B59" w14:textId="77777777" w:rsidR="00E23391" w:rsidRDefault="00E23391" w:rsidP="009C7C14">
      <w:r>
        <w:t xml:space="preserve">(2) Elengedhetetlen megismerni, áttekinteni, végiggondolni legalább egyszer a fentiek konkrét megnyilvánulási formáját, az </w:t>
      </w:r>
      <w:r w:rsidRPr="004037CE">
        <w:t>Európai Felsőoktatási Térség, illetve</w:t>
      </w:r>
      <w:r>
        <w:rPr>
          <w:b/>
          <w:bCs/>
        </w:rPr>
        <w:t xml:space="preserve"> az EU</w:t>
      </w:r>
      <w:r w:rsidRPr="00A26392">
        <w:rPr>
          <w:b/>
          <w:bCs/>
        </w:rPr>
        <w:t xml:space="preserve"> Képesítési </w:t>
      </w:r>
      <w:r w:rsidRPr="00A26392">
        <w:rPr>
          <w:b/>
          <w:bCs/>
        </w:rPr>
        <w:lastRenderedPageBreak/>
        <w:t>Keretrendszerét</w:t>
      </w:r>
      <w:r>
        <w:t xml:space="preserve"> (EKKR). Hivatalos rendeletben is megjelent már ennek hazai megfogalmazása, a </w:t>
      </w:r>
      <w:r w:rsidRPr="00A26392">
        <w:rPr>
          <w:b/>
          <w:bCs/>
        </w:rPr>
        <w:t>Magyar Képesítési Keretrendszer</w:t>
      </w:r>
      <w:r>
        <w:t xml:space="preserve"> (MKKR), ami már jogszabály, tehát az ahhoz való igazodás, annak alkalmazása már kötelező. Ezek pontos szövege megtalálható a mellékelt tájékoztatókban.</w:t>
      </w:r>
    </w:p>
    <w:p w14:paraId="5ADA0BDF" w14:textId="77777777" w:rsidR="00E23391" w:rsidRDefault="00E23391" w:rsidP="009C7C14"/>
    <w:p w14:paraId="7A066258" w14:textId="06C9581C" w:rsidR="00E23391" w:rsidRDefault="00E23391" w:rsidP="009C7C14">
      <w:r>
        <w:t xml:space="preserve">(3) A TÁMOP 413 program keretében elkészültek az egyes </w:t>
      </w:r>
      <w:r w:rsidRPr="00176EDD">
        <w:rPr>
          <w:b/>
          <w:bCs/>
        </w:rPr>
        <w:t>képzési területek szintleírásai</w:t>
      </w:r>
      <w:r>
        <w:t xml:space="preserve">. Ezek </w:t>
      </w:r>
      <w:r w:rsidRPr="00176EDD">
        <w:rPr>
          <w:b/>
          <w:bCs/>
        </w:rPr>
        <w:t>„csak” ajánlás</w:t>
      </w:r>
      <w:r>
        <w:rPr>
          <w:b/>
          <w:bCs/>
        </w:rPr>
        <w:t>ok</w:t>
      </w:r>
      <w:r>
        <w:t>, ugyanakkor mégis részletes és hasznos kiindulási alapok lehetnek a szak-specifikus KKK-k megfogalmazásához. Fontos és ajánlott kiindulási alap lehet azért is, mert erre építve egységesebbek lehetnek az egyes tudományterületek szakjainak KKK-i (ami a szakma megítélése és a mobilitás lehetősége szempontjából sem közömbös).</w:t>
      </w:r>
    </w:p>
    <w:p w14:paraId="15EC762C" w14:textId="77777777" w:rsidR="000673C1" w:rsidRDefault="000673C1" w:rsidP="009C7C14"/>
    <w:p w14:paraId="61F7BF3B" w14:textId="7545DFD1" w:rsidR="00E23391" w:rsidRDefault="00E23391" w:rsidP="009C7C14">
      <w:r>
        <w:t xml:space="preserve">Érdemes ezért időt szánni arra, hogy mindazok, akik részt vesznek majd az adott intézményen belül a KKK-k átdolgozásában, </w:t>
      </w:r>
      <w:r w:rsidRPr="00176EDD">
        <w:rPr>
          <w:b/>
          <w:bCs/>
        </w:rPr>
        <w:t>együtt gondolják át</w:t>
      </w:r>
      <w:r>
        <w:t>, értelmezzék annak egyes deskriptorait, mert így kialakulhat egy egységes, azonos kép, értelmezési keret az adott szint elvárt jellemzőiről.</w:t>
      </w:r>
    </w:p>
    <w:p w14:paraId="78701E9C" w14:textId="77777777" w:rsidR="00E23391" w:rsidRDefault="00E23391" w:rsidP="009C7C14"/>
    <w:p w14:paraId="00534142" w14:textId="77777777" w:rsidR="00E23391" w:rsidRDefault="00E23391" w:rsidP="009C7C14"/>
    <w:p w14:paraId="14FB3AC0" w14:textId="77777777" w:rsidR="00E23391" w:rsidRPr="001177E6" w:rsidRDefault="00E23391" w:rsidP="009C7C14">
      <w:pPr>
        <w:rPr>
          <w:b/>
          <w:bCs/>
        </w:rPr>
      </w:pPr>
      <w:r w:rsidRPr="001177E6">
        <w:rPr>
          <w:b/>
          <w:bCs/>
        </w:rPr>
        <w:t>II. A Munkacsoportok munkája (az első változatok elkészítése)</w:t>
      </w:r>
    </w:p>
    <w:p w14:paraId="05098CF4" w14:textId="14A8573B" w:rsidR="00E23391" w:rsidRDefault="00E23391" w:rsidP="009C7C14">
      <w:r>
        <w:t xml:space="preserve">(4) Mindenütt, ahol ez megvalósítható, a Munkacsoport koordinátora – szükség esetén belső egyeztetést követően – minden szak esetében legalább </w:t>
      </w:r>
      <w:r w:rsidRPr="00176EDD">
        <w:rPr>
          <w:b/>
          <w:bCs/>
        </w:rPr>
        <w:t xml:space="preserve">2-2 tagot </w:t>
      </w:r>
      <w:r>
        <w:t>kérjen fel a csoportból a KKK első változatának megfogalmazására (értelemszerűen azokból az intézményekből, ahol az adott szak jelentős szerepet ját</w:t>
      </w:r>
      <w:smartTag w:uri="urn:schemas-microsoft-com:office:smarttags" w:element="PersonName">
        <w:r>
          <w:t>szik</w:t>
        </w:r>
      </w:smartTag>
      <w:r>
        <w:t xml:space="preserve"> a képzési portfolióban, így megfelelő tapasztalat is összegyűlhetett arra vonatkozóan). Így elkerülhető, hogy a KKK-k tervezeteiben erősen megjelenjenek intézmény-specifikus, egyedi szempontok, megfontolások. Ahogy az a nyitókonferencián oktatókollégáktól elhangzott, tanulási eredményeket nem lehet egyedül írni, ez csoportos feladat, mert sok egymásra reflektálást igényel. </w:t>
      </w:r>
    </w:p>
    <w:p w14:paraId="5A712D22" w14:textId="77777777" w:rsidR="00E23391" w:rsidRDefault="00E23391" w:rsidP="009C7C14">
      <w:r>
        <w:t>A BA/BSc-szakokhoz értelemszerűen kapcsolódnak az ugyanazon elnevezésű felsőoktatási szakképzési (</w:t>
      </w:r>
      <w:r w:rsidRPr="00176EDD">
        <w:rPr>
          <w:b/>
          <w:bCs/>
        </w:rPr>
        <w:t>FOKSZ</w:t>
      </w:r>
      <w:r>
        <w:t>)-szakok is, azok KKK-it is el kell készíteni!</w:t>
      </w:r>
    </w:p>
    <w:p w14:paraId="42DD621A" w14:textId="77777777" w:rsidR="00E23391" w:rsidRDefault="00E23391" w:rsidP="009C7C14">
      <w:r>
        <w:t xml:space="preserve">Ugyancsak indokolt, hogy a szakos egymásra-épülésben összekapcsolódó </w:t>
      </w:r>
      <w:r w:rsidRPr="00176EDD">
        <w:rPr>
          <w:b/>
          <w:bCs/>
        </w:rPr>
        <w:t>BA</w:t>
      </w:r>
      <w:r>
        <w:rPr>
          <w:b/>
          <w:bCs/>
        </w:rPr>
        <w:t>/BSc</w:t>
      </w:r>
      <w:r w:rsidRPr="00176EDD">
        <w:rPr>
          <w:b/>
          <w:bCs/>
        </w:rPr>
        <w:t xml:space="preserve"> és MA</w:t>
      </w:r>
      <w:r>
        <w:rPr>
          <w:b/>
          <w:bCs/>
        </w:rPr>
        <w:t>/MSc</w:t>
      </w:r>
      <w:r w:rsidRPr="00176EDD">
        <w:rPr>
          <w:b/>
          <w:bCs/>
        </w:rPr>
        <w:t>-szakok</w:t>
      </w:r>
      <w:r>
        <w:t xml:space="preserve"> KKK-tervezeteinek elkészítése is egy-egy azonos helyen történjen, mert csak így lehet majd mérlegelni a két szint közötti feladat-megosztást, egymásra-épülést, megoldani annak esetleg (valószínűleg) szükségessé váló módosítását. Azaz fontos a szakmának újragondolni az első alap-, majd mesterszakok létrehozatalakor kialakított megosztást: az elmúlt években nagyon sokfelől megjelentek jelzések ennek szükségességére vonatkozóan. </w:t>
      </w:r>
    </w:p>
    <w:p w14:paraId="420948F3" w14:textId="77777777" w:rsidR="00166E35" w:rsidRDefault="00166E35" w:rsidP="00166E35">
      <w:r>
        <w:t>Javasoljuk továbbá a MAB meghívását a munkacsoportok munkájába annak érdekében, hogy az új szemléletről való közös gondolkodás</w:t>
      </w:r>
      <w:r w:rsidR="00784811">
        <w:t>, annak a gyakorlatban való megjelenése</w:t>
      </w:r>
      <w:r>
        <w:t xml:space="preserve"> nyomán a későbbi szakindítások harmonikusabban </w:t>
      </w:r>
      <w:r w:rsidR="00784811">
        <w:t>valósulhassanak meg.</w:t>
      </w:r>
    </w:p>
    <w:p w14:paraId="79407362" w14:textId="77777777" w:rsidR="00E23391" w:rsidRDefault="00E23391" w:rsidP="009C7C14"/>
    <w:p w14:paraId="38976007" w14:textId="77777777" w:rsidR="00E23391" w:rsidRDefault="00E23391" w:rsidP="009C7C14">
      <w:r>
        <w:t xml:space="preserve">(5) Az új KKK-k kitöltése – a kitöltendő pontok száma alapján – többségében valóban „csak másolás”, mert a hatályos </w:t>
      </w:r>
      <w:r w:rsidRPr="00774161">
        <w:rPr>
          <w:b/>
          <w:bCs/>
        </w:rPr>
        <w:t>rendeletek</w:t>
      </w:r>
      <w:r>
        <w:t xml:space="preserve"> azokat már leírták, meghatározták (a képzés neve, képzési idő, kreditek száma stb.). Ahol esetleg valami nem egyértelmű, ott pedig még lesz mód és lehetőség az </w:t>
      </w:r>
      <w:r w:rsidRPr="00774161">
        <w:rPr>
          <w:b/>
          <w:bCs/>
        </w:rPr>
        <w:t>egyeztetésre</w:t>
      </w:r>
      <w:r>
        <w:t>.</w:t>
      </w:r>
    </w:p>
    <w:p w14:paraId="224BB5E6" w14:textId="3A3E6FB3" w:rsidR="00E23391" w:rsidRDefault="00E23391" w:rsidP="009C7C14">
      <w:r>
        <w:t>Egyes területek képviselői már megállapodtak abban, hogy főszabályként „</w:t>
      </w:r>
      <w:r w:rsidRPr="00774161">
        <w:rPr>
          <w:b/>
          <w:bCs/>
        </w:rPr>
        <w:t>A szak orientációja</w:t>
      </w:r>
      <w:r>
        <w:t>”</w:t>
      </w:r>
      <w:r w:rsidRPr="00D95E6B">
        <w:t xml:space="preserve"> </w:t>
      </w:r>
      <w:r>
        <w:t>pontnál az elmélet-igényes szakoknál az „elmélet 60-70%”, a gyakorlat-igényes szakoknál a „gyakorlat 60-70</w:t>
      </w:r>
      <w:r w:rsidR="00D867AD">
        <w:t xml:space="preserve"> </w:t>
      </w:r>
      <w:r>
        <w:t>%” szintet jelölik be, de természetesen ettől el lehet térni.</w:t>
      </w:r>
    </w:p>
    <w:p w14:paraId="4D8E0BB9" w14:textId="77777777" w:rsidR="00E23391" w:rsidRDefault="00E23391" w:rsidP="009C7C14">
      <w:r>
        <w:t xml:space="preserve">Ugyancsak egyértelmű, hogy </w:t>
      </w:r>
      <w:r w:rsidRPr="00774161">
        <w:rPr>
          <w:b/>
          <w:bCs/>
        </w:rPr>
        <w:t>szakiránynak</w:t>
      </w:r>
      <w:r>
        <w:t xml:space="preserve"> csak azokat tekintjük, amelyek megnevezése a szak nevében (a diplomában) is megjelenik majd, a többi „csak” specializáció, amelyek nem igényelnek KKK-szabályozást, és az adott intézmény hatáskörébe tartoznak.</w:t>
      </w:r>
    </w:p>
    <w:p w14:paraId="5D64A9DF" w14:textId="006DF572" w:rsidR="00E23391" w:rsidRDefault="00E23391" w:rsidP="009C7C14">
      <w:r>
        <w:t xml:space="preserve">Megfontolandó esetleg annak az aszimmetriának a módosítása, miszerint a BA/BSc-szinten több képzési területen is </w:t>
      </w:r>
      <w:r w:rsidRPr="00774161">
        <w:rPr>
          <w:b/>
          <w:bCs/>
        </w:rPr>
        <w:t>a szakdolgozat készítése</w:t>
      </w:r>
      <w:r>
        <w:t xml:space="preserve"> kritérium-követelmény, vagyis nincs kredit-</w:t>
      </w:r>
      <w:r>
        <w:lastRenderedPageBreak/>
        <w:t xml:space="preserve">értéke, míg MA/MSc-szinten a diplomamunkához tartozik kredit-érték. (Ha a kredit a hallgatói teljesítmény mérésére szolgál, akkor a szakdolgozatnak is kellene, hogy legyen kredit-értéke, mert az utolsó oktatási félévben a hallgató idejének/munkájának egy részét biztosan erre fordítja. Eredetileg az az önös szempont vezetett a nulla kredithez, hogy így több kredit marad arra, hogy az utolsó félévben is tudjunk oktatni, legyen sok tárgyunk… Most viszont már talán fontosabb lehet a BA/BSc-szint tehermentesítése, a bachelor-mester-arány újragondolása…) A BA/BSc szint „tehermentesítése” viszont lehetőséget ad arra, hogy több időt szenteljünk az első évfolyamra belépő hallgatók első évben ugyancsak esedékes szintre hozásának, felsőoktatási tanulmányokba történő bevezetésének.  </w:t>
      </w:r>
    </w:p>
    <w:p w14:paraId="79D5BEE7" w14:textId="77777777" w:rsidR="003F1277" w:rsidRDefault="003F1277" w:rsidP="009C7C14"/>
    <w:p w14:paraId="18099D88" w14:textId="2E8E1106" w:rsidR="00E23391" w:rsidRDefault="00E23391" w:rsidP="009C7C14">
      <w:r>
        <w:t>(6) Az új KKK-k elkészítésének kritikus kérdése a „</w:t>
      </w:r>
      <w:r w:rsidRPr="00774161">
        <w:rPr>
          <w:b/>
          <w:bCs/>
        </w:rPr>
        <w:t>szakmai kompetenciák</w:t>
      </w:r>
      <w:r>
        <w:t xml:space="preserve">”, vagyis a </w:t>
      </w:r>
      <w:r w:rsidRPr="00774161">
        <w:rPr>
          <w:b/>
          <w:bCs/>
        </w:rPr>
        <w:t>szak-specifikus szintleíró jellemzők</w:t>
      </w:r>
      <w:r>
        <w:t xml:space="preserve"> megfogalmazása.</w:t>
      </w:r>
    </w:p>
    <w:p w14:paraId="43ED1664" w14:textId="77777777" w:rsidR="00E23391" w:rsidRDefault="00E23391" w:rsidP="009C7C14"/>
    <w:p w14:paraId="7980C5B4" w14:textId="77777777" w:rsidR="00E23391" w:rsidRDefault="00E23391" w:rsidP="009C7C14">
      <w:r>
        <w:t xml:space="preserve">Javasoljuk, hogy ez – legalábbis a munka jelenlegi fázisában „felülről lebontva” vagyis az MKKR és a </w:t>
      </w:r>
      <w:r w:rsidRPr="00AC72D5">
        <w:t>területi leírás tanulási eredmény-áll</w:t>
      </w:r>
      <w:r>
        <w:t>ításainak szak-specifikus átírásával, kiegészítésével</w:t>
      </w:r>
      <w:r w:rsidRPr="00AC72D5">
        <w:t>, pontosítás</w:t>
      </w:r>
      <w:r>
        <w:t>ával történjen. (A másik lehetséges út az „alulról építkezés” lehetne, vagyis a meglévő képzésekből szintetizálni az elvárható kimeneti jellemzőket, de ezt most azért nem ajánljuk, mert félő, hogy túlságosan egyedivé tenné a KKK-t. Majd a munka későbbi szakaszában erre is szükség lehet, amikor azt vizsgáljuk, hogy az adott képzésünk mennyire felel meg az elvárt kimeneti jellemzőknek, hol lehet szükség valamit módosítani.)</w:t>
      </w:r>
    </w:p>
    <w:p w14:paraId="5C2D8040" w14:textId="77777777" w:rsidR="00E23391" w:rsidRDefault="00E23391" w:rsidP="009C7C14"/>
    <w:p w14:paraId="701DAA00" w14:textId="6C0FBDAB" w:rsidR="00E23391" w:rsidRDefault="00E23391" w:rsidP="009C7C14">
      <w:r>
        <w:t xml:space="preserve">Javasoljuk tehát, hogy a </w:t>
      </w:r>
      <w:r w:rsidRPr="0079674D">
        <w:t>szak-specifikus szintleíró jellemzők m</w:t>
      </w:r>
      <w:r>
        <w:t>egfogalmazását</w:t>
      </w:r>
      <w:r w:rsidRPr="00774161">
        <w:rPr>
          <w:b/>
          <w:bCs/>
        </w:rPr>
        <w:t xml:space="preserve"> a területi leírás</w:t>
      </w:r>
      <w:r>
        <w:rPr>
          <w:b/>
          <w:bCs/>
        </w:rPr>
        <w:t>ok</w:t>
      </w:r>
      <w:r>
        <w:t xml:space="preserve"> deskriptorai alapján készítsék el. Ez természetesen nem zárja ki, sőt, szükségessé teszi a szak-specifikus kiegészítéseket, igényli a szak-specifikus konkretizálást. Válasszák ki azokat a tudás / képesség / attitűd / autonómia és felelősség leíró jellemzőket, amelyek érvényesek az adott szakra, illetve fogalmazzák bele </w:t>
      </w:r>
      <w:r w:rsidRPr="00AA07FA">
        <w:rPr>
          <w:b/>
          <w:bCs/>
        </w:rPr>
        <w:t>a szak-specifikus jellemzőket</w:t>
      </w:r>
      <w:r>
        <w:t>, egészítsék ki azokat a szükséges további elvárásokkal.</w:t>
      </w:r>
    </w:p>
    <w:p w14:paraId="1372FAD8" w14:textId="77777777" w:rsidR="00E23391" w:rsidRDefault="00E23391" w:rsidP="009C7C14"/>
    <w:p w14:paraId="3D0DED16" w14:textId="72A13123" w:rsidR="00E23391" w:rsidRDefault="00E23391" w:rsidP="009C7C14">
      <w:r>
        <w:t xml:space="preserve">Külön is fel kell hívnunk a figyelmet két (a tájékoztató előadás során is megfogalmazott) szerkesztési alapelvre. Egyrészt az adott szinten belüli </w:t>
      </w:r>
      <w:r w:rsidRPr="00AA07FA">
        <w:rPr>
          <w:b/>
          <w:bCs/>
        </w:rPr>
        <w:t>horizontális kapcsolatokra</w:t>
      </w:r>
      <w:r>
        <w:t xml:space="preserve">: az egyes dimenziók adott esetben egymásra épülnek, egymást feltételezik. Lehet, hogy pl. egy fontos képesség nem alakítható ki az ahhoz tartozó tudás elvárása nélkül; vagy ahhoz, hogy megfeleljen egy adott önállósági szintnek, kellenek meghatározott képességek, attitűdök stb. Megjelennek-e az adott szakon a kötelező szakmai gyakorlatokon kifejlesztendő képességek, készségek? Tehát a szintleírást „soronként” is egyeztetni kell. </w:t>
      </w:r>
    </w:p>
    <w:p w14:paraId="2578FDF8" w14:textId="77777777" w:rsidR="000673C1" w:rsidRDefault="000673C1" w:rsidP="009C7C14"/>
    <w:p w14:paraId="5A4D3CCF" w14:textId="33B60B17" w:rsidR="00E23391" w:rsidRDefault="00E23391" w:rsidP="009C7C14">
      <w:r>
        <w:t xml:space="preserve">Másrészt fontosak a </w:t>
      </w:r>
      <w:r w:rsidRPr="008623D4">
        <w:rPr>
          <w:b/>
          <w:bCs/>
        </w:rPr>
        <w:t>vertikális kapcsolatok</w:t>
      </w:r>
      <w:r>
        <w:t>: a szintek egymásra épülése. Az egyik szint (pl. mester) épít-e a másik (pl. bachelor) szintre; a jellemzők megfogalmazásában (akár a tudásban, akár az attitűdökben) érvényesül-e a szintek közötti különbség, arányosan magasabb-e a következő szinttel kapcsolatos elvárás. Mi az, ami adott szakon (egymáshoz közeli szakokon) belül az 5. szinttől, a 6.-tól és a 7.-től elvárható? Érvényesül-e a funkcionális különbség az 5. és 6. szint között, valóban túlterhelt-e a 6. szint a 7. szinthez képest?</w:t>
      </w:r>
    </w:p>
    <w:p w14:paraId="6022A68A" w14:textId="77777777" w:rsidR="00E23391" w:rsidRDefault="00E23391" w:rsidP="009C7C14"/>
    <w:p w14:paraId="2C5BF811" w14:textId="69D44F03" w:rsidR="00E23391" w:rsidRDefault="00E23391" w:rsidP="009C7C14">
      <w:r>
        <w:t xml:space="preserve">A TÁMOP-4.1.3 programban </w:t>
      </w:r>
      <w:r w:rsidR="00D867AD">
        <w:t xml:space="preserve">a </w:t>
      </w:r>
      <w:r>
        <w:t>kollégák az összes KKK mintegy 10</w:t>
      </w:r>
      <w:r w:rsidR="00D867AD">
        <w:t xml:space="preserve"> </w:t>
      </w:r>
      <w:r>
        <w:t xml:space="preserve">%-ára kiterjedően (minden képzési terület és minden szint legalább egy szakjára, ám van ahol többre is) egyedi összehasonlító elemzéseket végeztek: hogyan felelnek meg a KKK-k az MKKR szintleíró jellemzőinek? Vajon valóban a 6. szintre sorolhatók be a bachelor fokozatok? És valóban 7. szinten vannak a mester fokozataink? Ezeket az elemzéseket (besorolásokat) az MRK Titkárságától el lehet kérni. Még ha nem is saját szakunkra készült el az elemzés, a képzési </w:t>
      </w:r>
      <w:r>
        <w:lastRenderedPageBreak/>
        <w:t>terület más szakjára irányuló elemzés és annak tanulságai segíthetnek bennünket a KKK jobbá tételében.</w:t>
      </w:r>
    </w:p>
    <w:p w14:paraId="5F486849" w14:textId="77777777" w:rsidR="00E23391" w:rsidRDefault="00E23391" w:rsidP="009C7C14"/>
    <w:p w14:paraId="77D596A0" w14:textId="10E8283E" w:rsidR="00E23391" w:rsidRDefault="00E23391" w:rsidP="009C7C14">
      <w:r>
        <w:t xml:space="preserve">(7) Javasoljuk, hogy az új KKK-k megfogalmazásához a saját intézményen belül – szükség esetén a korábban említett „felkészülés” után – értelemszerűen vegyék igénybe </w:t>
      </w:r>
      <w:r w:rsidRPr="004037CE">
        <w:rPr>
          <w:b/>
          <w:bCs/>
        </w:rPr>
        <w:t>az adott szak felelősét, a szak vezető oktatóit</w:t>
      </w:r>
      <w:r>
        <w:t xml:space="preserve">, vagyis történjen egy </w:t>
      </w:r>
      <w:r w:rsidRPr="00F535D1">
        <w:rPr>
          <w:b/>
          <w:bCs/>
        </w:rPr>
        <w:t>belső egyeztetés</w:t>
      </w:r>
      <w:r>
        <w:t xml:space="preserve">, annak érdekében, hogy minél megalapozottabb legyen a KKK megfogalmazása. Ha lehet, az egyeztetésbe érdemes lehet már az elejétől bevonni az adott szak szempontjából releváns </w:t>
      </w:r>
      <w:r w:rsidRPr="004037CE">
        <w:rPr>
          <w:b/>
          <w:bCs/>
        </w:rPr>
        <w:t>külső partnereket</w:t>
      </w:r>
      <w:r>
        <w:t xml:space="preserve"> is (</w:t>
      </w:r>
      <w:r w:rsidR="00D867AD">
        <w:t xml:space="preserve">MAB, </w:t>
      </w:r>
      <w:r>
        <w:t>kamarák, szakmai szövetségek szakértői, szakmai gyakorlati helyek vezetői stb.). A tapasztalatok szerint, minél sokrétűbb a munkacsoport, várhatóan annál jobb lesz az eredmény.</w:t>
      </w:r>
    </w:p>
    <w:p w14:paraId="58007DB9" w14:textId="77777777" w:rsidR="00E23391" w:rsidRDefault="00E23391" w:rsidP="009C7C14"/>
    <w:p w14:paraId="25E3F6F4" w14:textId="4072124D" w:rsidR="00E23391" w:rsidRDefault="00E23391" w:rsidP="009C7C14">
      <w:r>
        <w:t xml:space="preserve">(8) Az </w:t>
      </w:r>
      <w:r w:rsidRPr="004037CE">
        <w:rPr>
          <w:b/>
          <w:bCs/>
        </w:rPr>
        <w:t>első változat</w:t>
      </w:r>
      <w:r>
        <w:t xml:space="preserve"> elkészítésének határideje </w:t>
      </w:r>
      <w:r w:rsidRPr="004037CE">
        <w:rPr>
          <w:b/>
          <w:bCs/>
        </w:rPr>
        <w:t xml:space="preserve">2015. július </w:t>
      </w:r>
      <w:r>
        <w:rPr>
          <w:b/>
          <w:bCs/>
        </w:rPr>
        <w:t>30</w:t>
      </w:r>
      <w:r>
        <w:t>., ám vannak területek, akik már július 10-re ezt meg kívánják tenni. Célszerű, hogy egy előre meghatározott, nem túl késői dátumig azok között is megtörténjen az egyeztetés, akik párhuzamosan azonos szakok KKK-it készítik elő, vagyis egyetlen változat mehetne tovább.</w:t>
      </w:r>
    </w:p>
    <w:p w14:paraId="3585B2D4" w14:textId="77777777" w:rsidR="00E23391" w:rsidRDefault="00E23391" w:rsidP="009C7C14"/>
    <w:p w14:paraId="652A2DBB" w14:textId="77777777" w:rsidR="00E23391" w:rsidRDefault="00E23391" w:rsidP="009C7C14">
      <w:r>
        <w:t>(9) Mindezekhez szükség esetén értelemszerűen igénybe vehetők a TÁMOP-szakértők: azok a kollégák (szinte minden intézményben ott vannak, a nagyobb egyetemeken, főiskolákon többen is), akik hosszú ideig közösen készültek fel erre a munkára, és akik együtt megalkották a képzési területi kimeneti leírásokat is. Elérhetőségük az MRK titkárságától elkérhető.</w:t>
      </w:r>
    </w:p>
    <w:p w14:paraId="1E293A0C" w14:textId="77777777" w:rsidR="00E23391" w:rsidRDefault="00E23391" w:rsidP="009C7C14"/>
    <w:p w14:paraId="2EA4B368" w14:textId="77E4627C" w:rsidR="00E23391" w:rsidRDefault="00E23391" w:rsidP="009C7C14">
      <w:r>
        <w:t>(10) Javasoljuk, hogy ezt kövesse egy szakbizottságon belüli egyeztetés, ahol egyrészt ellenőrizhető a különböző szakok azonos szintjének „egyenszilárdsága”, másrészt a szakon belül a különböző szintek egymásra épülése.</w:t>
      </w:r>
    </w:p>
    <w:p w14:paraId="7F835679" w14:textId="77777777" w:rsidR="00E23391" w:rsidRDefault="00E23391" w:rsidP="009C7C14"/>
    <w:p w14:paraId="6C995AE9" w14:textId="77777777" w:rsidR="00E23391" w:rsidRDefault="00E23391" w:rsidP="009C7C14"/>
    <w:p w14:paraId="52419FB1" w14:textId="77777777" w:rsidR="00E23391" w:rsidRPr="009D367B" w:rsidRDefault="00E23391" w:rsidP="009C7C14">
      <w:pPr>
        <w:rPr>
          <w:b/>
          <w:bCs/>
        </w:rPr>
      </w:pPr>
      <w:r w:rsidRPr="009D367B">
        <w:rPr>
          <w:b/>
          <w:bCs/>
        </w:rPr>
        <w:t>III. Szakterületi egyeztetés</w:t>
      </w:r>
    </w:p>
    <w:p w14:paraId="3A983DAA" w14:textId="714D5EFE" w:rsidR="00E23391" w:rsidRDefault="00E23391" w:rsidP="009C7C14">
      <w:r>
        <w:t>(11) Amennyiben erre az időkeretek lehetőséget adnak, a nyár folyamán, ha nem fér bele, akkor az ősszel még szükséges megvalósítani a szakterületen belüli egyeztetéseket is (horizontálisan és vertikálisan: biztos, hogy ez sem oldható meg egyetlen délutáni kávé mellett). Ez után kerülhet sor a belső visszacsatolásra, az oktatás-szakmai (OH), a kamarai és a minisztériumi egyeztetésre.</w:t>
      </w:r>
    </w:p>
    <w:p w14:paraId="7D827FF7" w14:textId="77777777" w:rsidR="00E23391" w:rsidRDefault="00E23391" w:rsidP="009C7C14"/>
    <w:p w14:paraId="12742570" w14:textId="77777777" w:rsidR="00E23391" w:rsidRDefault="00E23391" w:rsidP="009C7C14"/>
    <w:p w14:paraId="0CCCF329" w14:textId="77777777" w:rsidR="00E23391" w:rsidRDefault="00E23391" w:rsidP="009C7C14">
      <w:pPr>
        <w:rPr>
          <w:b/>
          <w:bCs/>
        </w:rPr>
      </w:pPr>
      <w:r w:rsidRPr="000673C1">
        <w:rPr>
          <w:b/>
          <w:bCs/>
        </w:rPr>
        <w:t>IV. Technikai információk, pon</w:t>
      </w:r>
      <w:r>
        <w:rPr>
          <w:b/>
          <w:bCs/>
        </w:rPr>
        <w:t>t</w:t>
      </w:r>
      <w:r w:rsidRPr="000673C1">
        <w:rPr>
          <w:b/>
          <w:bCs/>
        </w:rPr>
        <w:t>osítások</w:t>
      </w:r>
    </w:p>
    <w:p w14:paraId="2D992B96" w14:textId="77777777" w:rsidR="00E23391" w:rsidRDefault="00E23391" w:rsidP="009C7C14">
      <w:pPr>
        <w:rPr>
          <w:b/>
          <w:bCs/>
        </w:rPr>
      </w:pPr>
    </w:p>
    <w:p w14:paraId="6829DC1A" w14:textId="77777777" w:rsidR="00E23391" w:rsidRDefault="00E23391" w:rsidP="009C7C14">
      <w:r>
        <w:t>A nyitó konferencián, illetve azóta megfogalmazódtak pontosító, kiegészítő kérdések, felvetések:</w:t>
      </w:r>
    </w:p>
    <w:p w14:paraId="28EDBDA5" w14:textId="4042265E" w:rsidR="00E23391" w:rsidRDefault="00E23391" w:rsidP="009C7C14">
      <w:r>
        <w:t xml:space="preserve">A KKK sablon – az egyes pontok megnevezésének pontosításával, a mellé készült útmutató megfogalmazásainak további egyértelműsítésével – 2015. június </w:t>
      </w:r>
      <w:r w:rsidR="00D867AD">
        <w:t>30</w:t>
      </w:r>
      <w:r>
        <w:t>-ig véglegesül. A végleges sablon felkerül az MRK honlapjára.</w:t>
      </w:r>
    </w:p>
    <w:p w14:paraId="43912182" w14:textId="77777777" w:rsidR="00E23391" w:rsidRDefault="00E23391" w:rsidP="009C7C14">
      <w:r>
        <w:t xml:space="preserve">A mesterszakok sablonja két helyen is kitér a belépési feltételekre. Az első helyen csak a szakok (szakterületek) felsorolását kell megadni, az utolsó pontban pedig az előzményként mindenképpen szükséges tanulási eredményeket kell felsorolni.  </w:t>
      </w:r>
    </w:p>
    <w:p w14:paraId="31BF4567" w14:textId="77777777" w:rsidR="00E23391" w:rsidRDefault="00E23391" w:rsidP="009C7C14">
      <w:r>
        <w:t>A felsőoktatás számára javasolt általános kompetenciák – ahogy az a nyitókonferencián is elhangzott – egyelőre korai fázisú munkaanyagként tekintendő</w:t>
      </w:r>
      <w:r w:rsidR="00D867AD">
        <w:t>ek</w:t>
      </w:r>
      <w:r>
        <w:t xml:space="preserve">. Az egyes szakoknak kell eldönteniük, hogy mindegyik általános kompetencia fontos-e számukra annyira, hogy átemeljék a KKK-ba, van-e olyan további fontos, a munkaanyagban nem szereplő általános kompetencia, amely a szak számára kidolgozandó és beépítendő a KKK-ba. Az is lehetséges megoldás, hogy egy képzési terület egységesen kezeli az általános kompetenciákat és minden, </w:t>
      </w:r>
      <w:r>
        <w:lastRenderedPageBreak/>
        <w:t>a képzési területhez tartozó szak ugyanazokat építi be (természetesen a megfelelő szintre: a bachelor szakok a 6. szintre, a mester szakok a 7. szintre megfogalmazottakat).</w:t>
      </w:r>
    </w:p>
    <w:p w14:paraId="11D65DB5" w14:textId="77777777" w:rsidR="00E23391" w:rsidRDefault="00E23391" w:rsidP="009C7C14">
      <w:r>
        <w:t xml:space="preserve">A munkálatokhoz többféle háttérsegítséget, konzultációs lehetőséget ajánlunk fel. Ennek kereteiről és részleteiről az MRK Titkársága körlevélben küld értesítést. </w:t>
      </w:r>
    </w:p>
    <w:p w14:paraId="67D5A1B3" w14:textId="77777777" w:rsidR="00E23391" w:rsidRPr="000271FF" w:rsidRDefault="00E23391" w:rsidP="009C7C14"/>
    <w:sectPr w:rsidR="00E23391" w:rsidRPr="000271FF" w:rsidSect="000673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3454C5" w14:textId="77777777" w:rsidR="00E23391" w:rsidRDefault="00E23391" w:rsidP="00D95E6B">
      <w:r>
        <w:separator/>
      </w:r>
    </w:p>
  </w:endnote>
  <w:endnote w:type="continuationSeparator" w:id="0">
    <w:p w14:paraId="5438C17C" w14:textId="77777777" w:rsidR="00E23391" w:rsidRDefault="00E23391" w:rsidP="00D95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5201CD" w14:textId="77777777" w:rsidR="00E23391" w:rsidRDefault="00E23391" w:rsidP="00D95E6B">
      <w:r>
        <w:separator/>
      </w:r>
    </w:p>
  </w:footnote>
  <w:footnote w:type="continuationSeparator" w:id="0">
    <w:p w14:paraId="26310549" w14:textId="77777777" w:rsidR="00E23391" w:rsidRDefault="00E23391" w:rsidP="00D95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2D9CB" w14:textId="77777777" w:rsidR="00E23391" w:rsidRDefault="006931DE">
    <w:pPr>
      <w:pStyle w:val="lfej"/>
      <w:jc w:val="right"/>
    </w:pPr>
    <w:r>
      <w:fldChar w:fldCharType="begin"/>
    </w:r>
    <w:r>
      <w:instrText>PAGE   \* MERGEFORMAT</w:instrText>
    </w:r>
    <w:r>
      <w:fldChar w:fldCharType="separate"/>
    </w:r>
    <w:r w:rsidR="007651C2">
      <w:rPr>
        <w:noProof/>
      </w:rPr>
      <w:t>1</w:t>
    </w:r>
    <w:r>
      <w:rPr>
        <w:noProof/>
      </w:rPr>
      <w:fldChar w:fldCharType="end"/>
    </w:r>
  </w:p>
  <w:p w14:paraId="0DBA150B" w14:textId="77777777" w:rsidR="00E23391" w:rsidRDefault="00E2339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689654"/>
    <w:lvl w:ilvl="0">
      <w:start w:val="1"/>
      <w:numFmt w:val="bullet"/>
      <w:lvlText w:val=""/>
      <w:lvlJc w:val="left"/>
      <w:pPr>
        <w:tabs>
          <w:tab w:val="num" w:pos="851"/>
        </w:tabs>
        <w:ind w:left="936" w:hanging="369"/>
      </w:pPr>
      <w:rPr>
        <w:rFonts w:ascii="Symbol" w:hAnsi="Symbol" w:cs="Symbol" w:hint="default"/>
        <w:color w:val="663300"/>
      </w:rPr>
    </w:lvl>
  </w:abstractNum>
  <w:abstractNum w:abstractNumId="1" w15:restartNumberingAfterBreak="0">
    <w:nsid w:val="1A1E2996"/>
    <w:multiLevelType w:val="hybridMultilevel"/>
    <w:tmpl w:val="4FCA6A74"/>
    <w:lvl w:ilvl="0" w:tplc="FFCE08C6">
      <w:start w:val="1"/>
      <w:numFmt w:val="bullet"/>
      <w:lvlText w:val="o"/>
      <w:lvlJc w:val="left"/>
      <w:pPr>
        <w:ind w:left="1858" w:hanging="360"/>
      </w:pPr>
      <w:rPr>
        <w:rFonts w:ascii="Calibri" w:hAnsi="Calibri" w:cs="Calibri" w:hint="default"/>
        <w:color w:val="663300"/>
      </w:rPr>
    </w:lvl>
    <w:lvl w:ilvl="1" w:tplc="F6C0ED1E">
      <w:start w:val="1"/>
      <w:numFmt w:val="bullet"/>
      <w:lvlText w:val="o"/>
      <w:lvlJc w:val="left"/>
      <w:pPr>
        <w:ind w:left="257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8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4018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473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8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6178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689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6F848E7"/>
    <w:multiLevelType w:val="hybridMultilevel"/>
    <w:tmpl w:val="C9649AAC"/>
    <w:lvl w:ilvl="0" w:tplc="8D72B0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0707D"/>
    <w:multiLevelType w:val="multilevel"/>
    <w:tmpl w:val="812E22BA"/>
    <w:lvl w:ilvl="0">
      <w:start w:val="1"/>
      <w:numFmt w:val="upperRoman"/>
      <w:lvlText w:val="%1."/>
      <w:lvlJc w:val="left"/>
      <w:pPr>
        <w:tabs>
          <w:tab w:val="num" w:pos="720"/>
        </w:tabs>
        <w:ind w:left="510" w:hanging="51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6B352BEC"/>
    <w:multiLevelType w:val="hybridMultilevel"/>
    <w:tmpl w:val="5F3613FE"/>
    <w:lvl w:ilvl="0" w:tplc="CF68872A">
      <w:start w:val="1"/>
      <w:numFmt w:val="upperRoman"/>
      <w:lvlText w:val="%1."/>
      <w:lvlJc w:val="left"/>
      <w:pPr>
        <w:tabs>
          <w:tab w:val="num" w:pos="663"/>
        </w:tabs>
        <w:ind w:left="663" w:hanging="663"/>
      </w:pPr>
      <w:rPr>
        <w:rFonts w:ascii="Palatino Linotype" w:hAnsi="Palatino Linotype" w:cs="Palatino Linotype" w:hint="default"/>
        <w:b/>
        <w:bCs/>
        <w:i w:val="0"/>
        <w:iCs w:val="0"/>
        <w:color w:val="993300"/>
        <w:sz w:val="36"/>
        <w:szCs w:val="36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FF7342"/>
    <w:multiLevelType w:val="hybridMultilevel"/>
    <w:tmpl w:val="98A0DB66"/>
    <w:lvl w:ilvl="0" w:tplc="9C667AF2">
      <w:start w:val="1"/>
      <w:numFmt w:val="decimal"/>
      <w:lvlText w:val="%1."/>
      <w:lvlJc w:val="left"/>
      <w:pPr>
        <w:ind w:left="1287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trike w:val="0"/>
        <w:dstrike w:val="0"/>
        <w:vanish w:val="0"/>
        <w:color w:val="663300"/>
        <w:kern w:val="0"/>
        <w:sz w:val="24"/>
        <w:szCs w:val="24"/>
        <w:vertAlign w:val="baseline"/>
      </w:rPr>
    </w:lvl>
    <w:lvl w:ilvl="1" w:tplc="040E0019">
      <w:start w:val="1"/>
      <w:numFmt w:val="lowerLetter"/>
      <w:lvlText w:val="%2."/>
      <w:lvlJc w:val="left"/>
      <w:pPr>
        <w:ind w:left="2007" w:hanging="360"/>
      </w:pPr>
    </w:lvl>
    <w:lvl w:ilvl="2" w:tplc="040E001B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3"/>
  </w:num>
  <w:num w:numId="10">
    <w:abstractNumId w:val="3"/>
  </w:num>
  <w:num w:numId="11">
    <w:abstractNumId w:val="3"/>
  </w:num>
  <w:num w:numId="12">
    <w:abstractNumId w:val="0"/>
  </w:num>
  <w:num w:numId="13">
    <w:abstractNumId w:val="4"/>
  </w:num>
  <w:num w:numId="14">
    <w:abstractNumId w:val="5"/>
  </w:num>
  <w:num w:numId="15">
    <w:abstractNumId w:val="1"/>
  </w:num>
  <w:num w:numId="16">
    <w:abstractNumId w:val="3"/>
  </w:num>
  <w:num w:numId="17">
    <w:abstractNumId w:val="0"/>
  </w:num>
  <w:num w:numId="18">
    <w:abstractNumId w:val="4"/>
  </w:num>
  <w:num w:numId="19">
    <w:abstractNumId w:val="5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C14"/>
    <w:rsid w:val="00020508"/>
    <w:rsid w:val="00020B88"/>
    <w:rsid w:val="000271FF"/>
    <w:rsid w:val="000673C1"/>
    <w:rsid w:val="001177E6"/>
    <w:rsid w:val="00162C13"/>
    <w:rsid w:val="00166E35"/>
    <w:rsid w:val="00176EDD"/>
    <w:rsid w:val="001928B7"/>
    <w:rsid w:val="00192BC2"/>
    <w:rsid w:val="002F63A4"/>
    <w:rsid w:val="00344A0B"/>
    <w:rsid w:val="00376736"/>
    <w:rsid w:val="003B235D"/>
    <w:rsid w:val="003E2FE7"/>
    <w:rsid w:val="003F1277"/>
    <w:rsid w:val="003F4DF4"/>
    <w:rsid w:val="004037CE"/>
    <w:rsid w:val="00435D5C"/>
    <w:rsid w:val="0045521D"/>
    <w:rsid w:val="00531D88"/>
    <w:rsid w:val="00547F7C"/>
    <w:rsid w:val="00564F49"/>
    <w:rsid w:val="005C2CE6"/>
    <w:rsid w:val="005F68E0"/>
    <w:rsid w:val="006015BD"/>
    <w:rsid w:val="00666BE2"/>
    <w:rsid w:val="006828F4"/>
    <w:rsid w:val="006931DE"/>
    <w:rsid w:val="006E18B9"/>
    <w:rsid w:val="00747EEF"/>
    <w:rsid w:val="0076395D"/>
    <w:rsid w:val="007651C2"/>
    <w:rsid w:val="00774161"/>
    <w:rsid w:val="00781F25"/>
    <w:rsid w:val="00784811"/>
    <w:rsid w:val="0079674D"/>
    <w:rsid w:val="007B53DF"/>
    <w:rsid w:val="007C5548"/>
    <w:rsid w:val="008623D4"/>
    <w:rsid w:val="00907507"/>
    <w:rsid w:val="009614B4"/>
    <w:rsid w:val="009C7C14"/>
    <w:rsid w:val="009D367B"/>
    <w:rsid w:val="00A26392"/>
    <w:rsid w:val="00A31563"/>
    <w:rsid w:val="00AA07FA"/>
    <w:rsid w:val="00AA443F"/>
    <w:rsid w:val="00AA6FC1"/>
    <w:rsid w:val="00AC20CC"/>
    <w:rsid w:val="00AC72D5"/>
    <w:rsid w:val="00AF39E2"/>
    <w:rsid w:val="00D27007"/>
    <w:rsid w:val="00D55ACF"/>
    <w:rsid w:val="00D84104"/>
    <w:rsid w:val="00D867AD"/>
    <w:rsid w:val="00D95E6B"/>
    <w:rsid w:val="00E23391"/>
    <w:rsid w:val="00E30D4B"/>
    <w:rsid w:val="00F06012"/>
    <w:rsid w:val="00F1448B"/>
    <w:rsid w:val="00F25140"/>
    <w:rsid w:val="00F535D1"/>
    <w:rsid w:val="00F5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9381BDA"/>
  <w15:docId w15:val="{100569E4-AC8A-4647-B702-EC7FF007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B235D"/>
    <w:pPr>
      <w:keepNext/>
      <w:jc w:val="both"/>
    </w:pPr>
    <w:rPr>
      <w:rFonts w:ascii="Times New Roman" w:hAnsi="Times New Roman"/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3B235D"/>
    <w:pPr>
      <w:tabs>
        <w:tab w:val="left" w:pos="284"/>
      </w:tabs>
      <w:spacing w:before="120"/>
      <w:jc w:val="center"/>
      <w:outlineLvl w:val="0"/>
    </w:pPr>
    <w:rPr>
      <w:rFonts w:eastAsia="Times New Roman"/>
      <w:b/>
      <w:bCs/>
      <w:kern w:val="28"/>
      <w:sz w:val="28"/>
      <w:szCs w:val="28"/>
      <w:lang w:eastAsia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3B235D"/>
    <w:pPr>
      <w:jc w:val="center"/>
      <w:outlineLvl w:val="1"/>
    </w:pPr>
    <w:rPr>
      <w:rFonts w:eastAsia="Times New Roman"/>
      <w:b/>
      <w:bCs/>
      <w:i/>
      <w:iCs/>
      <w:sz w:val="26"/>
      <w:szCs w:val="26"/>
      <w:lang w:eastAsia="hu-HU"/>
    </w:rPr>
  </w:style>
  <w:style w:type="paragraph" w:styleId="Cmsor3">
    <w:name w:val="heading 3"/>
    <w:basedOn w:val="Norml"/>
    <w:link w:val="Cmsor3Char"/>
    <w:uiPriority w:val="99"/>
    <w:qFormat/>
    <w:rsid w:val="003B235D"/>
    <w:pPr>
      <w:tabs>
        <w:tab w:val="left" w:pos="340"/>
        <w:tab w:val="num" w:pos="720"/>
      </w:tabs>
      <w:jc w:val="left"/>
      <w:outlineLvl w:val="2"/>
    </w:pPr>
    <w:rPr>
      <w:rFonts w:eastAsia="Arial Unicode MS"/>
      <w:b/>
      <w:bCs/>
      <w:lang w:eastAsia="hu-HU"/>
    </w:rPr>
  </w:style>
  <w:style w:type="paragraph" w:styleId="Cmsor4">
    <w:name w:val="heading 4"/>
    <w:basedOn w:val="Norml"/>
    <w:next w:val="ECOszvegtrzs"/>
    <w:link w:val="Cmsor4Char"/>
    <w:uiPriority w:val="99"/>
    <w:qFormat/>
    <w:rsid w:val="003B235D"/>
    <w:pPr>
      <w:tabs>
        <w:tab w:val="num" w:pos="1418"/>
      </w:tabs>
      <w:spacing w:before="360" w:after="240"/>
      <w:ind w:left="1418" w:hanging="908"/>
      <w:outlineLvl w:val="3"/>
    </w:pPr>
    <w:rPr>
      <w:rFonts w:ascii="Calibri" w:eastAsia="Times New Roman" w:hAnsi="Calibri" w:cs="Calibri"/>
      <w:b/>
      <w:bCs/>
      <w:color w:val="663300"/>
      <w:lang w:eastAsia="hu-HU"/>
    </w:rPr>
  </w:style>
  <w:style w:type="paragraph" w:styleId="Cmsor5">
    <w:name w:val="heading 5"/>
    <w:basedOn w:val="Norml"/>
    <w:next w:val="ECOszvegtrzs"/>
    <w:link w:val="Cmsor5Char"/>
    <w:uiPriority w:val="99"/>
    <w:qFormat/>
    <w:rsid w:val="003B235D"/>
    <w:pPr>
      <w:keepNext w:val="0"/>
      <w:tabs>
        <w:tab w:val="num" w:pos="1418"/>
        <w:tab w:val="left" w:pos="1588"/>
      </w:tabs>
      <w:spacing w:before="360" w:after="240"/>
      <w:ind w:left="1418" w:hanging="908"/>
      <w:outlineLvl w:val="4"/>
    </w:pPr>
    <w:rPr>
      <w:rFonts w:ascii="Calibri" w:eastAsia="Times New Roman" w:hAnsi="Calibri" w:cs="Calibri"/>
      <w:b/>
      <w:bCs/>
      <w:color w:val="996600"/>
      <w:lang w:eastAsia="hu-HU"/>
    </w:rPr>
  </w:style>
  <w:style w:type="paragraph" w:styleId="Cmsor6">
    <w:name w:val="heading 6"/>
    <w:basedOn w:val="Norml"/>
    <w:next w:val="ECOszvegtrzs"/>
    <w:link w:val="Cmsor6Char"/>
    <w:uiPriority w:val="99"/>
    <w:qFormat/>
    <w:rsid w:val="003B235D"/>
    <w:pPr>
      <w:keepNext w:val="0"/>
      <w:tabs>
        <w:tab w:val="num" w:pos="1418"/>
        <w:tab w:val="left" w:pos="1814"/>
      </w:tabs>
      <w:spacing w:before="360" w:after="240"/>
      <w:ind w:left="1418" w:hanging="908"/>
      <w:outlineLvl w:val="5"/>
    </w:pPr>
    <w:rPr>
      <w:rFonts w:ascii="Calibri" w:eastAsia="Times New Roman" w:hAnsi="Calibri" w:cs="Calibri"/>
      <w:b/>
      <w:bCs/>
      <w:color w:val="CC9900"/>
      <w:lang w:eastAsia="hu-HU"/>
    </w:rPr>
  </w:style>
  <w:style w:type="paragraph" w:styleId="Cmsor7">
    <w:name w:val="heading 7"/>
    <w:basedOn w:val="Norml"/>
    <w:next w:val="ECOszvegtrzs"/>
    <w:link w:val="Cmsor7Char"/>
    <w:uiPriority w:val="99"/>
    <w:qFormat/>
    <w:rsid w:val="003B235D"/>
    <w:pPr>
      <w:keepNext w:val="0"/>
      <w:tabs>
        <w:tab w:val="num" w:pos="1296"/>
      </w:tabs>
      <w:spacing w:before="240" w:after="60"/>
      <w:ind w:left="1296" w:hanging="1296"/>
      <w:outlineLvl w:val="6"/>
    </w:pPr>
    <w:rPr>
      <w:rFonts w:ascii="Calibri" w:eastAsia="Times New Roman" w:hAnsi="Calibri" w:cs="Calibri"/>
      <w:color w:val="663300"/>
      <w:lang w:eastAsia="hu-HU"/>
    </w:rPr>
  </w:style>
  <w:style w:type="paragraph" w:styleId="Cmsor8">
    <w:name w:val="heading 8"/>
    <w:basedOn w:val="Norml"/>
    <w:next w:val="ECOszvegtrzs"/>
    <w:link w:val="Cmsor8Char"/>
    <w:uiPriority w:val="99"/>
    <w:qFormat/>
    <w:rsid w:val="003B235D"/>
    <w:pPr>
      <w:keepNext w:val="0"/>
      <w:tabs>
        <w:tab w:val="num" w:pos="1440"/>
      </w:tabs>
      <w:spacing w:before="240" w:after="60"/>
      <w:ind w:left="1440" w:hanging="1440"/>
      <w:outlineLvl w:val="7"/>
    </w:pPr>
    <w:rPr>
      <w:rFonts w:ascii="Calibri" w:eastAsia="Times New Roman" w:hAnsi="Calibri" w:cs="Calibri"/>
      <w:i/>
      <w:iCs/>
      <w:color w:val="663300"/>
      <w:lang w:eastAsia="hu-HU"/>
    </w:rPr>
  </w:style>
  <w:style w:type="paragraph" w:styleId="Cmsor9">
    <w:name w:val="heading 9"/>
    <w:basedOn w:val="Norml"/>
    <w:next w:val="ECOszvegtrzs"/>
    <w:link w:val="Cmsor9Char"/>
    <w:uiPriority w:val="99"/>
    <w:qFormat/>
    <w:rsid w:val="003B235D"/>
    <w:pPr>
      <w:keepNext w:val="0"/>
      <w:tabs>
        <w:tab w:val="num" w:pos="1584"/>
      </w:tabs>
      <w:spacing w:before="240" w:after="60"/>
      <w:ind w:left="1584" w:hanging="1584"/>
      <w:outlineLvl w:val="8"/>
    </w:pPr>
    <w:rPr>
      <w:rFonts w:ascii="Calibri" w:eastAsia="Times New Roman" w:hAnsi="Calibri" w:cs="Calibri"/>
      <w:color w:val="663300"/>
      <w:sz w:val="22"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3B235D"/>
    <w:rPr>
      <w:rFonts w:ascii="Times New Roman" w:hAnsi="Times New Roman" w:cs="Times New Roman"/>
      <w:b/>
      <w:bCs/>
      <w:kern w:val="28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3B235D"/>
    <w:rPr>
      <w:rFonts w:ascii="Times New Roman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rsid w:val="003B235D"/>
    <w:rPr>
      <w:rFonts w:ascii="Times New Roman" w:eastAsia="Arial Unicode MS" w:hAnsi="Times New Roman"/>
      <w:b/>
      <w:bCs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9"/>
    <w:rsid w:val="003B235D"/>
    <w:rPr>
      <w:rFonts w:ascii="Calibri" w:hAnsi="Calibri" w:cs="Calibri"/>
      <w:b/>
      <w:bCs/>
      <w:color w:val="663300"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3B235D"/>
    <w:rPr>
      <w:rFonts w:ascii="Calibri" w:hAnsi="Calibri" w:cs="Calibri"/>
      <w:b/>
      <w:bCs/>
      <w:color w:val="996600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rsid w:val="003B235D"/>
    <w:rPr>
      <w:rFonts w:ascii="Calibri" w:hAnsi="Calibri" w:cs="Calibri"/>
      <w:b/>
      <w:bCs/>
      <w:color w:val="CC9900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3B235D"/>
    <w:rPr>
      <w:rFonts w:ascii="Calibri" w:hAnsi="Calibri" w:cs="Calibri"/>
      <w:color w:val="663300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3B235D"/>
    <w:rPr>
      <w:rFonts w:ascii="Calibri" w:hAnsi="Calibri" w:cs="Calibri"/>
      <w:i/>
      <w:iCs/>
      <w:color w:val="663300"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3B235D"/>
    <w:rPr>
      <w:rFonts w:ascii="Calibri" w:hAnsi="Calibri" w:cs="Calibri"/>
      <w:color w:val="663300"/>
      <w:lang w:eastAsia="hu-HU"/>
    </w:rPr>
  </w:style>
  <w:style w:type="paragraph" w:customStyle="1" w:styleId="ECOszvegtrzs">
    <w:name w:val="ECO szövegtörzs"/>
    <w:basedOn w:val="Norml"/>
    <w:uiPriority w:val="99"/>
    <w:rsid w:val="003B235D"/>
    <w:pPr>
      <w:keepNext w:val="0"/>
      <w:autoSpaceDE w:val="0"/>
      <w:autoSpaceDN w:val="0"/>
      <w:spacing w:before="120"/>
    </w:pPr>
    <w:rPr>
      <w:rFonts w:ascii="Calibri" w:eastAsia="Times New Roman" w:hAnsi="Calibri" w:cs="Calibri"/>
      <w:color w:val="663300"/>
      <w:lang w:eastAsia="hu-HU"/>
    </w:rPr>
  </w:style>
  <w:style w:type="paragraph" w:customStyle="1" w:styleId="Rmaicims1">
    <w:name w:val="Római cims1"/>
    <w:basedOn w:val="Norml"/>
    <w:next w:val="ECOszvegtrzs"/>
    <w:autoRedefine/>
    <w:uiPriority w:val="99"/>
    <w:rsid w:val="003B235D"/>
    <w:pPr>
      <w:keepNext w:val="0"/>
      <w:tabs>
        <w:tab w:val="num" w:pos="663"/>
      </w:tabs>
      <w:spacing w:before="120"/>
      <w:ind w:left="663" w:hanging="663"/>
    </w:pPr>
    <w:rPr>
      <w:rFonts w:ascii="Calibri" w:eastAsia="Times New Roman" w:hAnsi="Calibri" w:cs="Calibri"/>
      <w:b/>
      <w:bCs/>
      <w:smallCaps/>
      <w:color w:val="993300"/>
      <w:sz w:val="32"/>
      <w:szCs w:val="32"/>
      <w:lang w:eastAsia="hu-HU"/>
    </w:rPr>
  </w:style>
  <w:style w:type="paragraph" w:customStyle="1" w:styleId="Szmozs">
    <w:name w:val="Számozás"/>
    <w:basedOn w:val="Norml"/>
    <w:next w:val="ECOszvegtrzs"/>
    <w:uiPriority w:val="99"/>
    <w:rsid w:val="003B235D"/>
    <w:pPr>
      <w:keepNext w:val="0"/>
      <w:tabs>
        <w:tab w:val="left" w:pos="851"/>
      </w:tabs>
      <w:spacing w:before="120"/>
      <w:ind w:left="1287" w:hanging="360"/>
      <w:contextualSpacing/>
    </w:pPr>
    <w:rPr>
      <w:rFonts w:ascii="Calibri" w:eastAsia="Times New Roman" w:hAnsi="Calibri" w:cs="Calibri"/>
      <w:color w:val="663300"/>
      <w:lang w:eastAsia="hu-HU"/>
    </w:rPr>
  </w:style>
  <w:style w:type="paragraph" w:customStyle="1" w:styleId="Felsorols2">
    <w:name w:val="Felsorolás2"/>
    <w:basedOn w:val="Felsorols"/>
    <w:uiPriority w:val="99"/>
    <w:rsid w:val="003B235D"/>
    <w:pPr>
      <w:tabs>
        <w:tab w:val="clear" w:pos="851"/>
      </w:tabs>
      <w:ind w:left="1858" w:hanging="360"/>
    </w:pPr>
    <w:rPr>
      <w:rFonts w:eastAsia="Times New Roman"/>
    </w:rPr>
  </w:style>
  <w:style w:type="paragraph" w:styleId="Felsorols">
    <w:name w:val="List Bullet"/>
    <w:basedOn w:val="Norml"/>
    <w:uiPriority w:val="99"/>
    <w:rsid w:val="003B235D"/>
    <w:pPr>
      <w:keepNext w:val="0"/>
      <w:tabs>
        <w:tab w:val="num" w:pos="851"/>
      </w:tabs>
      <w:spacing w:before="120"/>
      <w:ind w:left="936" w:hanging="369"/>
      <w:contextualSpacing/>
    </w:pPr>
    <w:rPr>
      <w:rFonts w:ascii="Calibri" w:hAnsi="Calibri" w:cs="Calibri"/>
      <w:color w:val="663300"/>
      <w:lang w:eastAsia="hu-HU"/>
    </w:rPr>
  </w:style>
  <w:style w:type="paragraph" w:customStyle="1" w:styleId="szvegdoboz">
    <w:name w:val="_szövegdoboz"/>
    <w:basedOn w:val="Norml"/>
    <w:uiPriority w:val="99"/>
    <w:rsid w:val="003B235D"/>
    <w:pPr>
      <w:keepNext w:val="0"/>
      <w:jc w:val="center"/>
    </w:pPr>
    <w:rPr>
      <w:rFonts w:ascii="Calibri" w:eastAsia="Times New Roman" w:hAnsi="Calibri" w:cs="Calibri"/>
      <w:color w:val="663300"/>
      <w:sz w:val="20"/>
      <w:szCs w:val="20"/>
      <w:lang w:eastAsia="hu-HU"/>
    </w:rPr>
  </w:style>
  <w:style w:type="paragraph" w:styleId="Lbjegyzetszveg">
    <w:name w:val="footnote text"/>
    <w:aliases w:val="Lábjegyzetszöveg Char Char,Char,Lábjegyzetszöveg Char2 Char,Lábjegyzetszöveg Char1 Char Char Char,Lábjegyzetszöveg Char2 Char Char1 Char Char,Lábjegyzetszöveg Char Char Char Char Char Char Char,Lábjegyzetszöveg Char1 Char"/>
    <w:basedOn w:val="Norml"/>
    <w:link w:val="LbjegyzetszvegChar"/>
    <w:uiPriority w:val="99"/>
    <w:semiHidden/>
    <w:rsid w:val="003B235D"/>
    <w:pPr>
      <w:keepNext w:val="0"/>
    </w:pPr>
    <w:rPr>
      <w:rFonts w:eastAsia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 Char Char,Char Char,Lábjegyzetszöveg Char2 Char Char,Lábjegyzetszöveg Char1 Char Char Char Char,Lábjegyzetszöveg Char2 Char Char1 Char Char Char,Lábjegyzetszöveg Char Char Char Char Char Char Char Char"/>
    <w:basedOn w:val="Bekezdsalapbettpusa"/>
    <w:link w:val="Lbjegyzetszveg"/>
    <w:uiPriority w:val="99"/>
    <w:rsid w:val="003B235D"/>
    <w:rPr>
      <w:rFonts w:ascii="Times New Roman" w:hAnsi="Times New Roman" w:cs="Times New Roman"/>
      <w:sz w:val="20"/>
      <w:szCs w:val="20"/>
      <w:lang w:eastAsia="hu-HU"/>
    </w:rPr>
  </w:style>
  <w:style w:type="paragraph" w:styleId="Kpalrs">
    <w:name w:val="caption"/>
    <w:aliases w:val="_ábraaláírás"/>
    <w:basedOn w:val="Norml"/>
    <w:next w:val="Norml"/>
    <w:link w:val="KpalrsChar"/>
    <w:uiPriority w:val="99"/>
    <w:qFormat/>
    <w:rsid w:val="003B235D"/>
    <w:pPr>
      <w:spacing w:after="200"/>
      <w:jc w:val="center"/>
    </w:pPr>
    <w:rPr>
      <w:rFonts w:eastAsia="Times New Roman"/>
      <w:b/>
      <w:bCs/>
      <w:sz w:val="22"/>
      <w:szCs w:val="22"/>
    </w:rPr>
  </w:style>
  <w:style w:type="character" w:customStyle="1" w:styleId="KpalrsChar">
    <w:name w:val="Képaláírás Char"/>
    <w:aliases w:val="_ábraaláírás Char"/>
    <w:basedOn w:val="Bekezdsalapbettpusa"/>
    <w:link w:val="Kpalrs"/>
    <w:uiPriority w:val="99"/>
    <w:rsid w:val="003B235D"/>
    <w:rPr>
      <w:rFonts w:ascii="Times New Roman" w:hAnsi="Times New Roman" w:cs="Times New Roman"/>
      <w:b/>
      <w:bCs/>
    </w:rPr>
  </w:style>
  <w:style w:type="paragraph" w:styleId="Cm">
    <w:name w:val="Title"/>
    <w:basedOn w:val="Norml"/>
    <w:next w:val="ECOszvegtrzs"/>
    <w:link w:val="CmChar"/>
    <w:uiPriority w:val="99"/>
    <w:qFormat/>
    <w:rsid w:val="003B235D"/>
    <w:pPr>
      <w:keepNext w:val="0"/>
      <w:spacing w:before="240" w:after="60"/>
      <w:outlineLvl w:val="0"/>
    </w:pPr>
    <w:rPr>
      <w:rFonts w:ascii="Calibri" w:eastAsia="Times New Roman" w:hAnsi="Calibri" w:cs="Calibri"/>
      <w:b/>
      <w:bCs/>
      <w:color w:val="663300"/>
      <w:kern w:val="28"/>
      <w:sz w:val="40"/>
      <w:szCs w:val="40"/>
      <w:lang w:eastAsia="hu-HU"/>
    </w:rPr>
  </w:style>
  <w:style w:type="character" w:customStyle="1" w:styleId="CmChar">
    <w:name w:val="Cím Char"/>
    <w:basedOn w:val="Bekezdsalapbettpusa"/>
    <w:link w:val="Cm"/>
    <w:uiPriority w:val="99"/>
    <w:rsid w:val="003B235D"/>
    <w:rPr>
      <w:rFonts w:ascii="Calibri" w:hAnsi="Calibri" w:cs="Calibri"/>
      <w:b/>
      <w:bCs/>
      <w:color w:val="663300"/>
      <w:kern w:val="28"/>
      <w:sz w:val="40"/>
      <w:szCs w:val="40"/>
      <w:lang w:eastAsia="hu-HU"/>
    </w:rPr>
  </w:style>
  <w:style w:type="paragraph" w:styleId="Alcm">
    <w:name w:val="Subtitle"/>
    <w:basedOn w:val="Norml"/>
    <w:next w:val="ECOszvegtrzs"/>
    <w:link w:val="AlcmChar"/>
    <w:autoRedefine/>
    <w:uiPriority w:val="99"/>
    <w:qFormat/>
    <w:rsid w:val="003B235D"/>
    <w:pPr>
      <w:keepNext w:val="0"/>
      <w:spacing w:before="120" w:after="60"/>
      <w:jc w:val="left"/>
      <w:outlineLvl w:val="1"/>
    </w:pPr>
    <w:rPr>
      <w:rFonts w:ascii="Calibri" w:eastAsia="Times New Roman" w:hAnsi="Calibri" w:cs="Calibri"/>
      <w:b/>
      <w:bCs/>
      <w:color w:val="663300"/>
      <w:sz w:val="26"/>
      <w:szCs w:val="26"/>
      <w:lang w:eastAsia="hu-HU"/>
    </w:rPr>
  </w:style>
  <w:style w:type="character" w:customStyle="1" w:styleId="AlcmChar">
    <w:name w:val="Alcím Char"/>
    <w:basedOn w:val="Bekezdsalapbettpusa"/>
    <w:link w:val="Alcm"/>
    <w:uiPriority w:val="99"/>
    <w:rsid w:val="003B235D"/>
    <w:rPr>
      <w:rFonts w:ascii="Calibri" w:hAnsi="Calibri" w:cs="Calibri"/>
      <w:b/>
      <w:bCs/>
      <w:color w:val="663300"/>
      <w:sz w:val="24"/>
      <w:szCs w:val="24"/>
      <w:lang w:eastAsia="hu-HU"/>
    </w:rPr>
  </w:style>
  <w:style w:type="character" w:styleId="Kiemels2">
    <w:name w:val="Strong"/>
    <w:basedOn w:val="Bekezdsalapbettpusa"/>
    <w:uiPriority w:val="99"/>
    <w:qFormat/>
    <w:rsid w:val="003B235D"/>
    <w:rPr>
      <w:b/>
      <w:bCs/>
    </w:rPr>
  </w:style>
  <w:style w:type="character" w:styleId="Kiemels">
    <w:name w:val="Emphasis"/>
    <w:basedOn w:val="Bekezdsalapbettpusa"/>
    <w:uiPriority w:val="99"/>
    <w:qFormat/>
    <w:rsid w:val="003B235D"/>
    <w:rPr>
      <w:rFonts w:ascii="Calibri" w:hAnsi="Calibri" w:cs="Calibri"/>
      <w:b/>
      <w:bCs/>
      <w:color w:val="663300"/>
      <w:sz w:val="24"/>
      <w:szCs w:val="24"/>
      <w:vertAlign w:val="baseline"/>
    </w:rPr>
  </w:style>
  <w:style w:type="paragraph" w:styleId="Nincstrkz">
    <w:name w:val="No Spacing"/>
    <w:link w:val="NincstrkzChar"/>
    <w:uiPriority w:val="99"/>
    <w:qFormat/>
    <w:rsid w:val="003B235D"/>
    <w:rPr>
      <w:rFonts w:eastAsia="Times New Roman" w:cs="Calibri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99"/>
    <w:rsid w:val="003B235D"/>
    <w:rPr>
      <w:rFonts w:eastAsia="Times New Roman"/>
      <w:sz w:val="22"/>
      <w:szCs w:val="22"/>
      <w:lang w:val="hu-HU" w:eastAsia="en-US"/>
    </w:rPr>
  </w:style>
  <w:style w:type="paragraph" w:styleId="Listaszerbekezds">
    <w:name w:val="List Paragraph"/>
    <w:basedOn w:val="Norml"/>
    <w:uiPriority w:val="99"/>
    <w:qFormat/>
    <w:rsid w:val="003B235D"/>
    <w:pPr>
      <w:ind w:left="720"/>
      <w:contextualSpacing/>
    </w:pPr>
  </w:style>
  <w:style w:type="paragraph" w:styleId="Tartalomjegyzkcmsora">
    <w:name w:val="TOC Heading"/>
    <w:basedOn w:val="Cmsor1"/>
    <w:next w:val="Norml"/>
    <w:uiPriority w:val="99"/>
    <w:qFormat/>
    <w:rsid w:val="003B235D"/>
    <w:pPr>
      <w:keepLines/>
      <w:tabs>
        <w:tab w:val="clear" w:pos="284"/>
      </w:tabs>
      <w:spacing w:before="480" w:line="276" w:lineRule="auto"/>
      <w:jc w:val="left"/>
      <w:outlineLvl w:val="9"/>
    </w:pPr>
    <w:rPr>
      <w:rFonts w:ascii="Cambria" w:hAnsi="Cambria" w:cs="Cambria"/>
      <w:color w:val="365F91"/>
      <w:kern w:val="0"/>
      <w:lang w:eastAsia="en-US"/>
    </w:rPr>
  </w:style>
  <w:style w:type="paragraph" w:customStyle="1" w:styleId="Stlus4">
    <w:name w:val="Stílus4"/>
    <w:basedOn w:val="Norml"/>
    <w:link w:val="Stlus4Char"/>
    <w:uiPriority w:val="99"/>
    <w:rsid w:val="003B235D"/>
    <w:pPr>
      <w:spacing w:after="120"/>
      <w:ind w:firstLine="567"/>
    </w:pPr>
  </w:style>
  <w:style w:type="character" w:customStyle="1" w:styleId="Stlus4Char">
    <w:name w:val="Stílus4 Char"/>
    <w:basedOn w:val="Bekezdsalapbettpusa"/>
    <w:link w:val="Stlus4"/>
    <w:uiPriority w:val="99"/>
    <w:rsid w:val="003B235D"/>
    <w:rPr>
      <w:rFonts w:ascii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rsid w:val="00D95E6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95E6B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D95E6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95E6B"/>
    <w:rPr>
      <w:rFonts w:ascii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A3156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Times New Roman" w:hAnsi="Times New Roman" w:cs="Times New Roman"/>
      <w:sz w:val="2"/>
      <w:szCs w:val="2"/>
      <w:lang w:eastAsia="en-US"/>
    </w:rPr>
  </w:style>
  <w:style w:type="character" w:styleId="Jegyzethivatkozs">
    <w:name w:val="annotation reference"/>
    <w:basedOn w:val="Bekezdsalapbettpusa"/>
    <w:uiPriority w:val="99"/>
    <w:semiHidden/>
    <w:rsid w:val="000271F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0271F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rFonts w:ascii="Times New Roman" w:hAnsi="Times New Roman" w:cs="Times New Roman"/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0271F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Pr>
      <w:rFonts w:ascii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1824</Words>
  <Characters>12322</Characters>
  <Application>Microsoft Office Word</Application>
  <DocSecurity>0</DocSecurity>
  <Lines>102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Ajánlás a KKK-k újrafogalmazásával kapcsolatos feladatok megoldására az MRK gazdaságtudományi bizottságának tagjai számára</vt:lpstr>
    </vt:vector>
  </TitlesOfParts>
  <Company>KD</Company>
  <LinksUpToDate>false</LinksUpToDate>
  <CharactersWithSpaces>14118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Ajánlás a KKK-k újrafogalmazásával kapcsolatos feladatok megoldására az MRK gazdaságtudományi bizottságának tagjai számára</dc:title>
  <dc:creator>USER2</dc:creator>
  <cp:lastModifiedBy>Orsi</cp:lastModifiedBy>
  <cp:revision>3</cp:revision>
  <dcterms:created xsi:type="dcterms:W3CDTF">2015-06-30T11:15:00Z</dcterms:created>
  <dcterms:modified xsi:type="dcterms:W3CDTF">2015-06-30T13:12:00Z</dcterms:modified>
</cp:coreProperties>
</file>